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57" w:type="dxa"/>
        <w:tblLayout w:type="fixed"/>
        <w:tblCellMar>
          <w:left w:w="0" w:type="dxa"/>
          <w:right w:w="0" w:type="dxa"/>
        </w:tblCellMar>
        <w:tblLook w:val="01E0"/>
      </w:tblPr>
      <w:tblGrid>
        <w:gridCol w:w="4087"/>
        <w:gridCol w:w="1509"/>
        <w:gridCol w:w="3196"/>
      </w:tblGrid>
      <w:tr w:rsidR="00F706C0" w:rsidTr="006828C4">
        <w:trPr>
          <w:trHeight w:val="1323"/>
        </w:trPr>
        <w:tc>
          <w:tcPr>
            <w:tcW w:w="4087" w:type="dxa"/>
          </w:tcPr>
          <w:p w:rsidR="00F706C0" w:rsidRDefault="00F706C0">
            <w:pPr>
              <w:pStyle w:val="TableParagraph"/>
              <w:spacing w:before="40"/>
              <w:rPr>
                <w:sz w:val="18"/>
              </w:rPr>
            </w:pPr>
          </w:p>
        </w:tc>
        <w:tc>
          <w:tcPr>
            <w:tcW w:w="1509" w:type="dxa"/>
          </w:tcPr>
          <w:p w:rsidR="00F706C0" w:rsidRDefault="00F706C0">
            <w:pPr>
              <w:pStyle w:val="TableParagraph"/>
              <w:ind w:left="153"/>
              <w:rPr>
                <w:sz w:val="20"/>
              </w:rPr>
            </w:pPr>
          </w:p>
        </w:tc>
        <w:tc>
          <w:tcPr>
            <w:tcW w:w="3196" w:type="dxa"/>
          </w:tcPr>
          <w:p w:rsidR="00F706C0" w:rsidRDefault="00F706C0">
            <w:pPr>
              <w:pStyle w:val="TableParagraph"/>
              <w:spacing w:line="205" w:lineRule="exact"/>
              <w:ind w:left="139"/>
              <w:rPr>
                <w:sz w:val="18"/>
              </w:rPr>
            </w:pPr>
          </w:p>
        </w:tc>
      </w:tr>
    </w:tbl>
    <w:p w:rsidR="00F706C0" w:rsidRDefault="00996EFF">
      <w:pPr>
        <w:pStyle w:val="Heading1"/>
        <w:tabs>
          <w:tab w:val="left" w:pos="7027"/>
        </w:tabs>
        <w:spacing w:before="9"/>
      </w:pPr>
      <w:r>
        <w:t>No.</w:t>
      </w:r>
      <w:r>
        <w:rPr>
          <w:spacing w:val="36"/>
        </w:rPr>
        <w:t xml:space="preserve"> </w:t>
      </w:r>
      <w:r>
        <w:t>BSNLCO-TAXN/13(15)/1/2020-Taxation/4045</w:t>
      </w:r>
      <w:r>
        <w:tab/>
        <w:t>Dated</w:t>
      </w:r>
      <w:proofErr w:type="gramStart"/>
      <w:r>
        <w:t>:-</w:t>
      </w:r>
      <w:proofErr w:type="gramEnd"/>
      <w:r>
        <w:rPr>
          <w:spacing w:val="9"/>
        </w:rPr>
        <w:t xml:space="preserve"> </w:t>
      </w:r>
      <w:r>
        <w:t>03-02-2021</w:t>
      </w:r>
    </w:p>
    <w:p w:rsidR="00F706C0" w:rsidRDefault="00F706C0">
      <w:pPr>
        <w:pStyle w:val="BodyText"/>
        <w:spacing w:before="4"/>
        <w:rPr>
          <w:b/>
          <w:sz w:val="14"/>
        </w:rPr>
      </w:pPr>
    </w:p>
    <w:p w:rsidR="00F706C0" w:rsidRDefault="00996EFF">
      <w:pPr>
        <w:pStyle w:val="BodyText"/>
        <w:spacing w:before="95"/>
        <w:ind w:left="151"/>
      </w:pPr>
      <w:r>
        <w:t>To</w:t>
      </w:r>
    </w:p>
    <w:p w:rsidR="00F706C0" w:rsidRDefault="00996EFF">
      <w:pPr>
        <w:pStyle w:val="BodyText"/>
        <w:spacing w:before="7" w:line="244" w:lineRule="auto"/>
        <w:ind w:left="832" w:right="4484"/>
      </w:pPr>
      <w:proofErr w:type="gramStart"/>
      <w:r>
        <w:t>The Chief General Managers and IFAs, All BSNL Circles/Units.</w:t>
      </w:r>
      <w:proofErr w:type="gramEnd"/>
    </w:p>
    <w:p w:rsidR="00F706C0" w:rsidRDefault="00F706C0">
      <w:pPr>
        <w:pStyle w:val="BodyText"/>
        <w:rPr>
          <w:sz w:val="15"/>
        </w:rPr>
      </w:pPr>
    </w:p>
    <w:p w:rsidR="00F706C0" w:rsidRDefault="00996EFF">
      <w:pPr>
        <w:pStyle w:val="Heading1"/>
        <w:spacing w:before="96"/>
        <w:jc w:val="both"/>
      </w:pPr>
      <w:r>
        <w:t>Sub</w:t>
      </w:r>
      <w:proofErr w:type="gramStart"/>
      <w:r>
        <w:t>:-</w:t>
      </w:r>
      <w:proofErr w:type="gramEnd"/>
      <w:r>
        <w:t xml:space="preserve"> TDS deduction on payment of medical bills of Retired Employees –Reg.</w:t>
      </w:r>
    </w:p>
    <w:p w:rsidR="00F706C0" w:rsidRDefault="00F706C0">
      <w:pPr>
        <w:pStyle w:val="BodyText"/>
        <w:spacing w:before="5"/>
        <w:rPr>
          <w:b/>
        </w:rPr>
      </w:pPr>
    </w:p>
    <w:p w:rsidR="00F706C0" w:rsidRDefault="00996EFF">
      <w:pPr>
        <w:pStyle w:val="BodyText"/>
        <w:spacing w:line="247" w:lineRule="auto"/>
        <w:ind w:left="151" w:right="180" w:firstLine="693"/>
        <w:jc w:val="both"/>
      </w:pPr>
      <w:r>
        <w:rPr>
          <w:color w:val="333333"/>
        </w:rPr>
        <w:t>The undersigned is directed to inform you that, this office has received a PMOPG complaint filed by the BSNL Retired Executive Association addressed to Chairman CBDT regarding deduction of income tax (TDS) on medical bills of Retired Employees at the time posting in</w:t>
      </w:r>
      <w:r>
        <w:rPr>
          <w:color w:val="333333"/>
          <w:spacing w:val="4"/>
        </w:rPr>
        <w:t xml:space="preserve"> </w:t>
      </w:r>
      <w:r>
        <w:rPr>
          <w:color w:val="333333"/>
        </w:rPr>
        <w:t>SAP.</w:t>
      </w:r>
    </w:p>
    <w:p w:rsidR="00F706C0" w:rsidRDefault="00F706C0">
      <w:pPr>
        <w:pStyle w:val="BodyText"/>
        <w:spacing w:before="3"/>
      </w:pPr>
    </w:p>
    <w:p w:rsidR="00F706C0" w:rsidRDefault="00996EFF">
      <w:pPr>
        <w:pStyle w:val="BodyText"/>
        <w:spacing w:line="244" w:lineRule="auto"/>
        <w:ind w:left="151" w:right="165" w:firstLine="680"/>
        <w:jc w:val="both"/>
      </w:pPr>
      <w:r>
        <w:rPr>
          <w:color w:val="333333"/>
        </w:rPr>
        <w:t>In this connection, it is intimated that, the relevant extract of the Income Tax Act, 1961 related with the matter are as follows:-</w:t>
      </w:r>
    </w:p>
    <w:p w:rsidR="00F706C0" w:rsidRDefault="00F706C0">
      <w:pPr>
        <w:pStyle w:val="BodyText"/>
        <w:spacing w:before="9"/>
      </w:pPr>
    </w:p>
    <w:p w:rsidR="00F706C0" w:rsidRDefault="00996EFF">
      <w:pPr>
        <w:spacing w:line="244" w:lineRule="auto"/>
        <w:ind w:left="151" w:right="162"/>
        <w:jc w:val="both"/>
      </w:pPr>
      <w:proofErr w:type="gramStart"/>
      <w:r>
        <w:rPr>
          <w:color w:val="333333"/>
        </w:rPr>
        <w:t>“</w:t>
      </w:r>
      <w:r>
        <w:rPr>
          <w:color w:val="333333"/>
          <w:u w:val="thick" w:color="333333"/>
        </w:rPr>
        <w:t xml:space="preserve"> </w:t>
      </w:r>
      <w:r>
        <w:rPr>
          <w:b/>
          <w:color w:val="333333"/>
          <w:u w:val="thick" w:color="333333"/>
        </w:rPr>
        <w:t>As</w:t>
      </w:r>
      <w:proofErr w:type="gramEnd"/>
      <w:r>
        <w:rPr>
          <w:b/>
          <w:color w:val="333333"/>
          <w:u w:val="thick" w:color="333333"/>
        </w:rPr>
        <w:t xml:space="preserve"> per Section 15 of the Income Tax Act,1961</w:t>
      </w:r>
      <w:r>
        <w:rPr>
          <w:color w:val="333333"/>
        </w:rPr>
        <w:t>, the following income shall be chargeable to income-tax under the head “Salaries” u/s 15:-</w:t>
      </w:r>
    </w:p>
    <w:p w:rsidR="00F706C0" w:rsidRDefault="00F706C0">
      <w:pPr>
        <w:pStyle w:val="BodyText"/>
        <w:spacing w:before="10"/>
      </w:pPr>
    </w:p>
    <w:p w:rsidR="00F706C0" w:rsidRDefault="00996EFF">
      <w:pPr>
        <w:pStyle w:val="ListParagraph"/>
        <w:numPr>
          <w:ilvl w:val="0"/>
          <w:numId w:val="3"/>
        </w:numPr>
        <w:tabs>
          <w:tab w:val="left" w:pos="994"/>
        </w:tabs>
        <w:spacing w:before="1" w:line="244" w:lineRule="auto"/>
        <w:ind w:right="166" w:firstLine="0"/>
      </w:pPr>
      <w:r>
        <w:rPr>
          <w:color w:val="333333"/>
        </w:rPr>
        <w:t xml:space="preserve">Any salary due from an employer or a former employer to an </w:t>
      </w:r>
      <w:proofErr w:type="spellStart"/>
      <w:r>
        <w:rPr>
          <w:color w:val="333333"/>
        </w:rPr>
        <w:t>assesse</w:t>
      </w:r>
      <w:proofErr w:type="spellEnd"/>
      <w:r>
        <w:rPr>
          <w:color w:val="333333"/>
        </w:rPr>
        <w:t xml:space="preserve"> in the previous year, whether paid or</w:t>
      </w:r>
      <w:r>
        <w:rPr>
          <w:color w:val="333333"/>
          <w:spacing w:val="6"/>
        </w:rPr>
        <w:t xml:space="preserve"> </w:t>
      </w:r>
      <w:r>
        <w:rPr>
          <w:color w:val="333333"/>
        </w:rPr>
        <w:t>not;</w:t>
      </w:r>
    </w:p>
    <w:p w:rsidR="00F706C0" w:rsidRDefault="00996EFF">
      <w:pPr>
        <w:pStyle w:val="ListParagraph"/>
        <w:numPr>
          <w:ilvl w:val="0"/>
          <w:numId w:val="3"/>
        </w:numPr>
        <w:tabs>
          <w:tab w:val="left" w:pos="997"/>
        </w:tabs>
        <w:spacing w:before="2" w:line="244" w:lineRule="auto"/>
        <w:ind w:right="165" w:firstLine="0"/>
      </w:pPr>
      <w:r>
        <w:rPr>
          <w:color w:val="333333"/>
        </w:rPr>
        <w:t>Any salary paid or allowed to him in the previous year by or on behalf of an employer   or a former employer though not due or before it became due to</w:t>
      </w:r>
      <w:r>
        <w:rPr>
          <w:color w:val="333333"/>
          <w:spacing w:val="45"/>
        </w:rPr>
        <w:t xml:space="preserve"> </w:t>
      </w:r>
      <w:r>
        <w:rPr>
          <w:color w:val="333333"/>
        </w:rPr>
        <w:t>him;</w:t>
      </w:r>
    </w:p>
    <w:p w:rsidR="00F706C0" w:rsidRDefault="00996EFF">
      <w:pPr>
        <w:pStyle w:val="BodyText"/>
        <w:spacing w:before="2" w:line="244" w:lineRule="auto"/>
        <w:ind w:left="684"/>
      </w:pPr>
      <w:r>
        <w:rPr>
          <w:color w:val="333333"/>
        </w:rPr>
        <w:t>c).Any arrears of salary paid or allowed to him in the previous year by or on behalf of an employer or a former employer, if not charged to income-tax for any earlier previous year.</w:t>
      </w:r>
    </w:p>
    <w:p w:rsidR="00F706C0" w:rsidRDefault="00F706C0">
      <w:pPr>
        <w:pStyle w:val="BodyText"/>
        <w:spacing w:before="9"/>
      </w:pPr>
    </w:p>
    <w:p w:rsidR="00F706C0" w:rsidRDefault="00996EFF">
      <w:pPr>
        <w:pStyle w:val="BodyText"/>
        <w:spacing w:line="247" w:lineRule="auto"/>
        <w:ind w:left="151" w:right="163"/>
        <w:jc w:val="both"/>
      </w:pPr>
      <w:proofErr w:type="gramStart"/>
      <w:r>
        <w:rPr>
          <w:b/>
          <w:color w:val="333333"/>
        </w:rPr>
        <w:t>[Explanation 1].</w:t>
      </w:r>
      <w:proofErr w:type="gramEnd"/>
      <w:r>
        <w:rPr>
          <w:b/>
          <w:color w:val="333333"/>
        </w:rPr>
        <w:t xml:space="preserve"> </w:t>
      </w:r>
      <w:r>
        <w:rPr>
          <w:color w:val="333333"/>
        </w:rPr>
        <w:t>For the removal of doubts, it is hereby declared that where any salary paid in advance is included in the total income of any person for any previous year it shall not be included again in the total income of the person when the salary becomes due.</w:t>
      </w:r>
    </w:p>
    <w:p w:rsidR="00F706C0" w:rsidRDefault="00996EFF">
      <w:pPr>
        <w:pStyle w:val="BodyText"/>
        <w:spacing w:before="185" w:line="247" w:lineRule="auto"/>
        <w:ind w:left="151" w:right="165"/>
        <w:jc w:val="both"/>
      </w:pPr>
      <w:proofErr w:type="gramStart"/>
      <w:r>
        <w:rPr>
          <w:b/>
          <w:color w:val="333333"/>
        </w:rPr>
        <w:t>[Explanation 2]</w:t>
      </w:r>
      <w:r>
        <w:rPr>
          <w:color w:val="333333"/>
        </w:rPr>
        <w:t>.</w:t>
      </w:r>
      <w:proofErr w:type="gramEnd"/>
      <w:r>
        <w:rPr>
          <w:color w:val="333333"/>
        </w:rPr>
        <w:t xml:space="preserve"> Any salary, bonus, commission or remuneration, by whatever name called, due to, or</w:t>
      </w:r>
      <w:r>
        <w:rPr>
          <w:color w:val="333333"/>
          <w:spacing w:val="-6"/>
        </w:rPr>
        <w:t xml:space="preserve"> </w:t>
      </w:r>
      <w:r>
        <w:rPr>
          <w:color w:val="333333"/>
        </w:rPr>
        <w:t>received</w:t>
      </w:r>
      <w:r>
        <w:rPr>
          <w:color w:val="333333"/>
          <w:spacing w:val="-6"/>
        </w:rPr>
        <w:t xml:space="preserve"> </w:t>
      </w:r>
      <w:r>
        <w:rPr>
          <w:color w:val="333333"/>
        </w:rPr>
        <w:t>by,</w:t>
      </w:r>
      <w:r>
        <w:rPr>
          <w:color w:val="333333"/>
          <w:spacing w:val="-2"/>
        </w:rPr>
        <w:t xml:space="preserve"> </w:t>
      </w:r>
      <w:r>
        <w:rPr>
          <w:color w:val="333333"/>
        </w:rPr>
        <w:t>a</w:t>
      </w:r>
      <w:r>
        <w:rPr>
          <w:color w:val="333333"/>
          <w:spacing w:val="-1"/>
        </w:rPr>
        <w:t xml:space="preserve"> </w:t>
      </w:r>
      <w:r>
        <w:rPr>
          <w:color w:val="333333"/>
        </w:rPr>
        <w:t>partner</w:t>
      </w:r>
      <w:r>
        <w:rPr>
          <w:color w:val="333333"/>
          <w:spacing w:val="-6"/>
        </w:rPr>
        <w:t xml:space="preserve"> </w:t>
      </w:r>
      <w:r>
        <w:rPr>
          <w:color w:val="333333"/>
        </w:rPr>
        <w:t>of</w:t>
      </w:r>
      <w:r>
        <w:rPr>
          <w:color w:val="333333"/>
          <w:spacing w:val="-2"/>
        </w:rPr>
        <w:t xml:space="preserve"> </w:t>
      </w:r>
      <w:r>
        <w:rPr>
          <w:color w:val="333333"/>
        </w:rPr>
        <w:t>a</w:t>
      </w:r>
      <w:r>
        <w:rPr>
          <w:color w:val="333333"/>
          <w:spacing w:val="-8"/>
        </w:rPr>
        <w:t xml:space="preserve"> </w:t>
      </w:r>
      <w:r>
        <w:rPr>
          <w:color w:val="333333"/>
        </w:rPr>
        <w:t>firm</w:t>
      </w:r>
      <w:r>
        <w:rPr>
          <w:color w:val="333333"/>
          <w:spacing w:val="-5"/>
        </w:rPr>
        <w:t xml:space="preserve"> </w:t>
      </w:r>
      <w:r>
        <w:rPr>
          <w:color w:val="333333"/>
        </w:rPr>
        <w:t>from</w:t>
      </w:r>
      <w:r>
        <w:rPr>
          <w:color w:val="333333"/>
          <w:spacing w:val="-5"/>
        </w:rPr>
        <w:t xml:space="preserve"> </w:t>
      </w:r>
      <w:r>
        <w:rPr>
          <w:color w:val="333333"/>
        </w:rPr>
        <w:t>the</w:t>
      </w:r>
      <w:r>
        <w:rPr>
          <w:color w:val="333333"/>
          <w:spacing w:val="-2"/>
        </w:rPr>
        <w:t xml:space="preserve"> </w:t>
      </w:r>
      <w:r>
        <w:rPr>
          <w:color w:val="333333"/>
        </w:rPr>
        <w:t>firm</w:t>
      </w:r>
      <w:r>
        <w:rPr>
          <w:color w:val="333333"/>
          <w:spacing w:val="-10"/>
        </w:rPr>
        <w:t xml:space="preserve"> </w:t>
      </w:r>
      <w:r>
        <w:rPr>
          <w:color w:val="333333"/>
        </w:rPr>
        <w:t>shall</w:t>
      </w:r>
      <w:r>
        <w:rPr>
          <w:color w:val="333333"/>
          <w:spacing w:val="-3"/>
        </w:rPr>
        <w:t xml:space="preserve"> </w:t>
      </w:r>
      <w:r>
        <w:rPr>
          <w:color w:val="333333"/>
        </w:rPr>
        <w:t>not</w:t>
      </w:r>
      <w:r>
        <w:rPr>
          <w:color w:val="333333"/>
          <w:spacing w:val="-7"/>
        </w:rPr>
        <w:t xml:space="preserve"> </w:t>
      </w:r>
      <w:r>
        <w:rPr>
          <w:color w:val="333333"/>
        </w:rPr>
        <w:t>be</w:t>
      </w:r>
      <w:r>
        <w:rPr>
          <w:color w:val="333333"/>
          <w:spacing w:val="-1"/>
        </w:rPr>
        <w:t xml:space="preserve"> </w:t>
      </w:r>
      <w:r>
        <w:rPr>
          <w:color w:val="333333"/>
        </w:rPr>
        <w:t>regarded</w:t>
      </w:r>
      <w:r>
        <w:rPr>
          <w:color w:val="333333"/>
          <w:spacing w:val="-5"/>
        </w:rPr>
        <w:t xml:space="preserve"> </w:t>
      </w:r>
      <w:r>
        <w:rPr>
          <w:color w:val="333333"/>
        </w:rPr>
        <w:t>as</w:t>
      </w:r>
      <w:r>
        <w:rPr>
          <w:color w:val="333333"/>
          <w:spacing w:val="-3"/>
        </w:rPr>
        <w:t xml:space="preserve"> </w:t>
      </w:r>
      <w:r>
        <w:rPr>
          <w:color w:val="333333"/>
        </w:rPr>
        <w:t>“salary”</w:t>
      </w:r>
      <w:r>
        <w:rPr>
          <w:color w:val="333333"/>
          <w:spacing w:val="-2"/>
        </w:rPr>
        <w:t xml:space="preserve"> </w:t>
      </w:r>
      <w:r>
        <w:rPr>
          <w:color w:val="333333"/>
        </w:rPr>
        <w:t>for</w:t>
      </w:r>
      <w:r>
        <w:rPr>
          <w:color w:val="333333"/>
          <w:spacing w:val="-3"/>
        </w:rPr>
        <w:t xml:space="preserve"> </w:t>
      </w:r>
      <w:r>
        <w:rPr>
          <w:color w:val="333333"/>
        </w:rPr>
        <w:t>the</w:t>
      </w:r>
      <w:r>
        <w:rPr>
          <w:color w:val="333333"/>
          <w:spacing w:val="-1"/>
        </w:rPr>
        <w:t xml:space="preserve"> </w:t>
      </w:r>
      <w:r>
        <w:rPr>
          <w:color w:val="333333"/>
        </w:rPr>
        <w:t>purpose of this</w:t>
      </w:r>
      <w:r>
        <w:rPr>
          <w:color w:val="333333"/>
          <w:spacing w:val="2"/>
        </w:rPr>
        <w:t xml:space="preserve"> </w:t>
      </w:r>
      <w:r>
        <w:rPr>
          <w:color w:val="333333"/>
        </w:rPr>
        <w:t>section.</w:t>
      </w:r>
    </w:p>
    <w:p w:rsidR="00F706C0" w:rsidRDefault="00996EFF">
      <w:pPr>
        <w:pStyle w:val="BodyText"/>
        <w:spacing w:before="183" w:line="247" w:lineRule="auto"/>
        <w:ind w:left="151" w:right="160"/>
        <w:jc w:val="both"/>
      </w:pPr>
      <w:r>
        <w:rPr>
          <w:color w:val="333333"/>
          <w:spacing w:val="-57"/>
          <w:w w:val="102"/>
          <w:u w:val="thick" w:color="333333"/>
        </w:rPr>
        <w:t xml:space="preserve"> </w:t>
      </w:r>
      <w:r>
        <w:rPr>
          <w:b/>
          <w:color w:val="333333"/>
          <w:u w:val="thick" w:color="333333"/>
        </w:rPr>
        <w:t>Further, as per Section 192 of the Income Tax Act, 1961</w:t>
      </w:r>
      <w:r>
        <w:rPr>
          <w:color w:val="333333"/>
        </w:rPr>
        <w:t xml:space="preserve">, “Any person responsible for paying any income chargeable under the head “Salaries” shall, at the </w:t>
      </w:r>
      <w:proofErr w:type="gramStart"/>
      <w:r>
        <w:rPr>
          <w:color w:val="333333"/>
        </w:rPr>
        <w:t>time  of</w:t>
      </w:r>
      <w:proofErr w:type="gramEnd"/>
      <w:r>
        <w:rPr>
          <w:color w:val="333333"/>
        </w:rPr>
        <w:t xml:space="preserve"> payment,  deduct income- tax on the amount payable at the average rate of income tax computed on the basis of the rates </w:t>
      </w:r>
      <w:r>
        <w:rPr>
          <w:color w:val="333333"/>
          <w:spacing w:val="-3"/>
        </w:rPr>
        <w:t xml:space="preserve">in </w:t>
      </w:r>
      <w:r>
        <w:rPr>
          <w:color w:val="333333"/>
        </w:rPr>
        <w:t xml:space="preserve">force for the financial year in which the payment is made, on the estimated income of the </w:t>
      </w:r>
      <w:proofErr w:type="spellStart"/>
      <w:r>
        <w:rPr>
          <w:color w:val="333333"/>
        </w:rPr>
        <w:t>assesse</w:t>
      </w:r>
      <w:proofErr w:type="spellEnd"/>
      <w:r>
        <w:rPr>
          <w:color w:val="333333"/>
        </w:rPr>
        <w:t xml:space="preserve"> under this head for that financial</w:t>
      </w:r>
      <w:r>
        <w:rPr>
          <w:color w:val="333333"/>
          <w:spacing w:val="10"/>
        </w:rPr>
        <w:t xml:space="preserve"> </w:t>
      </w:r>
      <w:r>
        <w:rPr>
          <w:color w:val="333333"/>
        </w:rPr>
        <w:t>year.”</w:t>
      </w:r>
    </w:p>
    <w:p w:rsidR="00F706C0" w:rsidRDefault="00996EFF">
      <w:pPr>
        <w:pStyle w:val="BodyText"/>
        <w:spacing w:before="183" w:line="247" w:lineRule="auto"/>
        <w:ind w:left="151" w:right="165"/>
        <w:jc w:val="both"/>
      </w:pPr>
      <w:r>
        <w:rPr>
          <w:color w:val="333333"/>
        </w:rPr>
        <w:t>Further, as per Section 192, following conditions must be satisfied for applicability of Section 192:-</w:t>
      </w:r>
    </w:p>
    <w:p w:rsidR="00F706C0" w:rsidRDefault="00996EFF">
      <w:pPr>
        <w:pStyle w:val="ListParagraph"/>
        <w:numPr>
          <w:ilvl w:val="0"/>
          <w:numId w:val="2"/>
        </w:numPr>
        <w:tabs>
          <w:tab w:val="left" w:pos="829"/>
        </w:tabs>
        <w:spacing w:before="187"/>
      </w:pPr>
      <w:r>
        <w:rPr>
          <w:color w:val="333333"/>
        </w:rPr>
        <w:t>Any payment is made by an employer to his</w:t>
      </w:r>
      <w:r>
        <w:rPr>
          <w:color w:val="333333"/>
          <w:spacing w:val="19"/>
        </w:rPr>
        <w:t xml:space="preserve"> </w:t>
      </w:r>
      <w:r>
        <w:rPr>
          <w:color w:val="333333"/>
        </w:rPr>
        <w:t>employee.</w:t>
      </w:r>
    </w:p>
    <w:p w:rsidR="00F706C0" w:rsidRDefault="00996EFF">
      <w:pPr>
        <w:pStyle w:val="ListParagraph"/>
        <w:numPr>
          <w:ilvl w:val="0"/>
          <w:numId w:val="2"/>
        </w:numPr>
        <w:tabs>
          <w:tab w:val="left" w:pos="829"/>
        </w:tabs>
      </w:pPr>
      <w:r>
        <w:rPr>
          <w:color w:val="333333"/>
        </w:rPr>
        <w:t>Such payment must be chargeable under the head</w:t>
      </w:r>
      <w:r>
        <w:rPr>
          <w:color w:val="333333"/>
          <w:spacing w:val="21"/>
        </w:rPr>
        <w:t xml:space="preserve"> </w:t>
      </w:r>
      <w:r>
        <w:rPr>
          <w:color w:val="333333"/>
        </w:rPr>
        <w:t>‘Salaries’.</w:t>
      </w:r>
    </w:p>
    <w:p w:rsidR="00F706C0" w:rsidRDefault="00996EFF">
      <w:pPr>
        <w:pStyle w:val="ListParagraph"/>
        <w:numPr>
          <w:ilvl w:val="0"/>
          <w:numId w:val="2"/>
        </w:numPr>
        <w:tabs>
          <w:tab w:val="left" w:pos="829"/>
        </w:tabs>
        <w:spacing w:before="5" w:line="244" w:lineRule="auto"/>
        <w:ind w:right="164"/>
      </w:pPr>
      <w:r>
        <w:rPr>
          <w:color w:val="333333"/>
        </w:rPr>
        <w:t>Quantum of such payments for the financial year in which such payments are made exceeds maximum amount not chargeable to tax (generally referred to as ‘threshold</w:t>
      </w:r>
      <w:r>
        <w:rPr>
          <w:color w:val="333333"/>
          <w:spacing w:val="-1"/>
        </w:rPr>
        <w:t xml:space="preserve"> </w:t>
      </w:r>
      <w:r>
        <w:rPr>
          <w:color w:val="333333"/>
        </w:rPr>
        <w:t>limit’).</w:t>
      </w:r>
    </w:p>
    <w:p w:rsidR="00F706C0" w:rsidRDefault="00996EFF">
      <w:pPr>
        <w:pStyle w:val="BodyText"/>
        <w:spacing w:before="84" w:line="247" w:lineRule="auto"/>
        <w:ind w:left="152" w:right="155" w:firstLine="565"/>
        <w:jc w:val="both"/>
      </w:pPr>
      <w:r>
        <w:rPr>
          <w:color w:val="333333"/>
        </w:rPr>
        <w:t>Further, Tax is to be deducted at the time of payment of salary, i.e., tax is to be deducted at the time of ‘actual payment’ of salary. When the salary is only credited to the account of employee and is not actually paid to him, tax is not required to be deducted; tax will be deducted only at the time when salary is ‘actually’ paid to the employee.</w:t>
      </w:r>
    </w:p>
    <w:p w:rsidR="00F706C0" w:rsidRDefault="00996EFF">
      <w:pPr>
        <w:pStyle w:val="BodyText"/>
        <w:spacing w:before="182" w:line="247" w:lineRule="auto"/>
        <w:ind w:left="152" w:right="173" w:firstLine="565"/>
        <w:jc w:val="both"/>
      </w:pPr>
      <w:r>
        <w:rPr>
          <w:color w:val="333333"/>
        </w:rPr>
        <w:lastRenderedPageBreak/>
        <w:t>In view of above, it has been decided by the Competent Authority to discontinue the existing practice of deducting TDS at the time of posting of medical bill in the SAP and deduct TDS</w:t>
      </w:r>
      <w:r>
        <w:rPr>
          <w:color w:val="333333"/>
          <w:spacing w:val="10"/>
        </w:rPr>
        <w:t xml:space="preserve"> </w:t>
      </w:r>
      <w:r>
        <w:rPr>
          <w:color w:val="333333"/>
        </w:rPr>
        <w:t>on</w:t>
      </w:r>
      <w:r>
        <w:rPr>
          <w:color w:val="333333"/>
          <w:spacing w:val="14"/>
        </w:rPr>
        <w:t xml:space="preserve"> </w:t>
      </w:r>
      <w:r>
        <w:rPr>
          <w:color w:val="333333"/>
        </w:rPr>
        <w:t>Retirees</w:t>
      </w:r>
      <w:r>
        <w:rPr>
          <w:color w:val="333333"/>
          <w:spacing w:val="10"/>
        </w:rPr>
        <w:t xml:space="preserve"> </w:t>
      </w:r>
      <w:r>
        <w:rPr>
          <w:color w:val="333333"/>
        </w:rPr>
        <w:t>Medicals</w:t>
      </w:r>
      <w:r>
        <w:rPr>
          <w:color w:val="333333"/>
          <w:spacing w:val="11"/>
        </w:rPr>
        <w:t xml:space="preserve"> </w:t>
      </w:r>
      <w:r>
        <w:rPr>
          <w:color w:val="333333"/>
        </w:rPr>
        <w:t>Bills</w:t>
      </w:r>
      <w:r>
        <w:rPr>
          <w:color w:val="333333"/>
          <w:spacing w:val="10"/>
        </w:rPr>
        <w:t xml:space="preserve"> </w:t>
      </w:r>
      <w:r>
        <w:rPr>
          <w:color w:val="333333"/>
        </w:rPr>
        <w:t>at</w:t>
      </w:r>
      <w:r>
        <w:rPr>
          <w:color w:val="333333"/>
          <w:spacing w:val="9"/>
        </w:rPr>
        <w:t xml:space="preserve"> </w:t>
      </w:r>
      <w:r>
        <w:rPr>
          <w:color w:val="333333"/>
        </w:rPr>
        <w:t>the</w:t>
      </w:r>
      <w:r>
        <w:rPr>
          <w:color w:val="333333"/>
          <w:spacing w:val="11"/>
        </w:rPr>
        <w:t xml:space="preserve"> </w:t>
      </w:r>
      <w:r>
        <w:rPr>
          <w:color w:val="333333"/>
        </w:rPr>
        <w:t>time</w:t>
      </w:r>
      <w:r>
        <w:rPr>
          <w:color w:val="333333"/>
          <w:spacing w:val="13"/>
        </w:rPr>
        <w:t xml:space="preserve"> </w:t>
      </w:r>
      <w:r>
        <w:rPr>
          <w:color w:val="333333"/>
        </w:rPr>
        <w:t>of</w:t>
      </w:r>
      <w:r>
        <w:rPr>
          <w:color w:val="333333"/>
          <w:spacing w:val="8"/>
        </w:rPr>
        <w:t xml:space="preserve"> </w:t>
      </w:r>
      <w:r>
        <w:rPr>
          <w:color w:val="333333"/>
        </w:rPr>
        <w:t>payment</w:t>
      </w:r>
      <w:r>
        <w:rPr>
          <w:color w:val="333333"/>
          <w:spacing w:val="10"/>
        </w:rPr>
        <w:t xml:space="preserve"> </w:t>
      </w:r>
      <w:r>
        <w:rPr>
          <w:color w:val="333333"/>
        </w:rPr>
        <w:t>with</w:t>
      </w:r>
      <w:r>
        <w:rPr>
          <w:color w:val="333333"/>
          <w:spacing w:val="7"/>
        </w:rPr>
        <w:t xml:space="preserve"> </w:t>
      </w:r>
      <w:r>
        <w:rPr>
          <w:color w:val="333333"/>
        </w:rPr>
        <w:t>effect</w:t>
      </w:r>
      <w:r>
        <w:rPr>
          <w:color w:val="333333"/>
          <w:spacing w:val="9"/>
        </w:rPr>
        <w:t xml:space="preserve"> </w:t>
      </w:r>
      <w:r>
        <w:rPr>
          <w:color w:val="333333"/>
        </w:rPr>
        <w:t>from</w:t>
      </w:r>
      <w:r>
        <w:rPr>
          <w:color w:val="333333"/>
          <w:spacing w:val="10"/>
        </w:rPr>
        <w:t xml:space="preserve"> </w:t>
      </w:r>
      <w:r>
        <w:rPr>
          <w:color w:val="333333"/>
        </w:rPr>
        <w:t>January</w:t>
      </w:r>
      <w:r>
        <w:rPr>
          <w:color w:val="333333"/>
          <w:spacing w:val="12"/>
        </w:rPr>
        <w:t xml:space="preserve"> </w:t>
      </w:r>
      <w:r>
        <w:rPr>
          <w:color w:val="333333"/>
        </w:rPr>
        <w:t>2021</w:t>
      </w:r>
      <w:r>
        <w:rPr>
          <w:color w:val="333333"/>
          <w:spacing w:val="11"/>
        </w:rPr>
        <w:t xml:space="preserve"> </w:t>
      </w:r>
      <w:r>
        <w:rPr>
          <w:color w:val="333333"/>
        </w:rPr>
        <w:t>(i.e.</w:t>
      </w:r>
      <w:r>
        <w:rPr>
          <w:color w:val="333333"/>
          <w:spacing w:val="12"/>
        </w:rPr>
        <w:t xml:space="preserve"> </w:t>
      </w:r>
      <w:r>
        <w:rPr>
          <w:color w:val="333333"/>
        </w:rPr>
        <w:t>Q4</w:t>
      </w:r>
      <w:r>
        <w:rPr>
          <w:color w:val="333333"/>
          <w:spacing w:val="14"/>
        </w:rPr>
        <w:t xml:space="preserve"> </w:t>
      </w:r>
      <w:r>
        <w:rPr>
          <w:color w:val="333333"/>
        </w:rPr>
        <w:t>of</w:t>
      </w:r>
    </w:p>
    <w:p w:rsidR="00F706C0" w:rsidRDefault="00996EFF">
      <w:pPr>
        <w:pStyle w:val="BodyText"/>
        <w:spacing w:line="251" w:lineRule="exact"/>
        <w:ind w:left="152"/>
        <w:jc w:val="both"/>
      </w:pPr>
      <w:proofErr w:type="gramStart"/>
      <w:r>
        <w:rPr>
          <w:color w:val="333333"/>
        </w:rPr>
        <w:t>F.Y. 2020-21) onwards.</w:t>
      </w:r>
      <w:proofErr w:type="gramEnd"/>
    </w:p>
    <w:p w:rsidR="00F706C0" w:rsidRDefault="00F706C0">
      <w:pPr>
        <w:pStyle w:val="BodyText"/>
        <w:rPr>
          <w:sz w:val="23"/>
        </w:rPr>
      </w:pPr>
    </w:p>
    <w:p w:rsidR="00F706C0" w:rsidRDefault="00996EFF">
      <w:pPr>
        <w:pStyle w:val="BodyText"/>
        <w:spacing w:before="1"/>
        <w:ind w:left="775"/>
      </w:pPr>
      <w:r>
        <w:rPr>
          <w:color w:val="333333"/>
        </w:rPr>
        <w:t>This is for your kind information and necessary action please.</w:t>
      </w:r>
    </w:p>
    <w:p w:rsidR="00F706C0" w:rsidRDefault="00F706C0">
      <w:pPr>
        <w:pStyle w:val="BodyText"/>
        <w:spacing w:before="8"/>
        <w:rPr>
          <w:sz w:val="23"/>
        </w:rPr>
      </w:pPr>
    </w:p>
    <w:p w:rsidR="00F706C0" w:rsidRDefault="00996EFF">
      <w:pPr>
        <w:pStyle w:val="Heading1"/>
        <w:ind w:left="828"/>
      </w:pPr>
      <w:r>
        <w:rPr>
          <w:color w:val="333333"/>
        </w:rPr>
        <w:t xml:space="preserve">This may be treated as </w:t>
      </w:r>
      <w:proofErr w:type="gramStart"/>
      <w:r>
        <w:rPr>
          <w:color w:val="333333"/>
        </w:rPr>
        <w:t>Most</w:t>
      </w:r>
      <w:proofErr w:type="gramEnd"/>
      <w:r>
        <w:rPr>
          <w:color w:val="333333"/>
        </w:rPr>
        <w:t xml:space="preserve"> Urgent.</w:t>
      </w:r>
    </w:p>
    <w:p w:rsidR="00F706C0" w:rsidRDefault="00F706C0">
      <w:pPr>
        <w:pStyle w:val="BodyText"/>
        <w:rPr>
          <w:b/>
          <w:sz w:val="23"/>
        </w:rPr>
      </w:pPr>
    </w:p>
    <w:p w:rsidR="00F706C0" w:rsidRDefault="00996EFF">
      <w:pPr>
        <w:ind w:left="869"/>
        <w:rPr>
          <w:rFonts w:ascii="Arial"/>
          <w:b/>
        </w:rPr>
      </w:pPr>
      <w:proofErr w:type="gramStart"/>
      <w:r>
        <w:rPr>
          <w:rFonts w:ascii="Arial"/>
          <w:b/>
        </w:rPr>
        <w:t>This issues</w:t>
      </w:r>
      <w:proofErr w:type="gramEnd"/>
      <w:r>
        <w:rPr>
          <w:rFonts w:ascii="Arial"/>
          <w:b/>
        </w:rPr>
        <w:t xml:space="preserve"> with the approval of Sr. GM (Taxation).</w:t>
      </w:r>
    </w:p>
    <w:p w:rsidR="00F706C0" w:rsidRDefault="00F706C0">
      <w:pPr>
        <w:pStyle w:val="BodyText"/>
        <w:rPr>
          <w:rFonts w:ascii="Arial"/>
          <w:b/>
          <w:sz w:val="20"/>
        </w:rPr>
      </w:pPr>
    </w:p>
    <w:p w:rsidR="00F706C0" w:rsidRDefault="00F706C0">
      <w:pPr>
        <w:pStyle w:val="BodyText"/>
        <w:rPr>
          <w:rFonts w:ascii="Arial"/>
          <w:b/>
          <w:sz w:val="20"/>
        </w:rPr>
      </w:pPr>
    </w:p>
    <w:p w:rsidR="00F706C0" w:rsidRDefault="00996EFF">
      <w:pPr>
        <w:pStyle w:val="BodyText"/>
        <w:spacing w:before="6"/>
        <w:rPr>
          <w:rFonts w:ascii="Arial"/>
          <w:b/>
          <w:sz w:val="24"/>
        </w:rPr>
      </w:pPr>
      <w:r>
        <w:rPr>
          <w:noProof/>
        </w:rPr>
        <w:drawing>
          <wp:anchor distT="0" distB="0" distL="0" distR="0" simplePos="0" relativeHeight="251658240" behindDoc="0" locked="0" layoutInCell="1" allowOverlap="1">
            <wp:simplePos x="0" y="0"/>
            <wp:positionH relativeFrom="page">
              <wp:posOffset>4934528</wp:posOffset>
            </wp:positionH>
            <wp:positionV relativeFrom="paragraph">
              <wp:posOffset>204118</wp:posOffset>
            </wp:positionV>
            <wp:extent cx="1778699" cy="67437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778699" cy="674370"/>
                    </a:xfrm>
                    <a:prstGeom prst="rect">
                      <a:avLst/>
                    </a:prstGeom>
                  </pic:spPr>
                </pic:pic>
              </a:graphicData>
            </a:graphic>
          </wp:anchor>
        </w:drawing>
      </w:r>
    </w:p>
    <w:p w:rsidR="00F706C0" w:rsidRDefault="00F706C0">
      <w:pPr>
        <w:pStyle w:val="BodyText"/>
        <w:spacing w:before="1"/>
        <w:rPr>
          <w:rFonts w:ascii="Arial"/>
          <w:b/>
          <w:sz w:val="21"/>
        </w:rPr>
      </w:pPr>
    </w:p>
    <w:p w:rsidR="00F706C0" w:rsidRDefault="00996EFF">
      <w:pPr>
        <w:spacing w:before="1"/>
        <w:ind w:left="152"/>
        <w:rPr>
          <w:rFonts w:ascii="Arial"/>
        </w:rPr>
      </w:pPr>
      <w:r>
        <w:rPr>
          <w:rFonts w:ascii="Arial"/>
          <w:b/>
        </w:rPr>
        <w:t>Copy to</w:t>
      </w:r>
      <w:r>
        <w:rPr>
          <w:rFonts w:ascii="Arial"/>
        </w:rPr>
        <w:t>:-</w:t>
      </w:r>
    </w:p>
    <w:p w:rsidR="00F706C0" w:rsidRDefault="00F706C0">
      <w:pPr>
        <w:pStyle w:val="BodyText"/>
        <w:rPr>
          <w:rFonts w:ascii="Arial"/>
          <w:sz w:val="23"/>
        </w:rPr>
      </w:pPr>
    </w:p>
    <w:p w:rsidR="00F706C0" w:rsidRDefault="00996EFF">
      <w:pPr>
        <w:pStyle w:val="ListParagraph"/>
        <w:numPr>
          <w:ilvl w:val="0"/>
          <w:numId w:val="1"/>
        </w:numPr>
        <w:tabs>
          <w:tab w:val="left" w:pos="414"/>
        </w:tabs>
        <w:spacing w:before="1"/>
        <w:rPr>
          <w:rFonts w:ascii="Arial"/>
        </w:rPr>
      </w:pPr>
      <w:r>
        <w:rPr>
          <w:rFonts w:ascii="Arial"/>
        </w:rPr>
        <w:t>Sr. PPS to CMD- for kind information</w:t>
      </w:r>
      <w:r>
        <w:rPr>
          <w:rFonts w:ascii="Arial"/>
          <w:spacing w:val="19"/>
        </w:rPr>
        <w:t xml:space="preserve"> </w:t>
      </w:r>
      <w:r>
        <w:rPr>
          <w:rFonts w:ascii="Arial"/>
        </w:rPr>
        <w:t>please.</w:t>
      </w:r>
    </w:p>
    <w:p w:rsidR="00F706C0" w:rsidRDefault="00996EFF">
      <w:pPr>
        <w:pStyle w:val="ListParagraph"/>
        <w:numPr>
          <w:ilvl w:val="0"/>
          <w:numId w:val="1"/>
        </w:numPr>
        <w:tabs>
          <w:tab w:val="left" w:pos="414"/>
        </w:tabs>
        <w:rPr>
          <w:rFonts w:ascii="Arial"/>
        </w:rPr>
      </w:pPr>
      <w:r>
        <w:rPr>
          <w:rFonts w:ascii="Arial"/>
        </w:rPr>
        <w:t>Sr. PPS to Director (Finance) - for kind information</w:t>
      </w:r>
      <w:r>
        <w:rPr>
          <w:rFonts w:ascii="Arial"/>
          <w:spacing w:val="34"/>
        </w:rPr>
        <w:t xml:space="preserve"> </w:t>
      </w:r>
      <w:r>
        <w:rPr>
          <w:rFonts w:ascii="Arial"/>
        </w:rPr>
        <w:t>please.</w:t>
      </w:r>
    </w:p>
    <w:p w:rsidR="00F706C0" w:rsidRDefault="00996EFF">
      <w:pPr>
        <w:pStyle w:val="ListParagraph"/>
        <w:numPr>
          <w:ilvl w:val="0"/>
          <w:numId w:val="1"/>
        </w:numPr>
        <w:tabs>
          <w:tab w:val="left" w:pos="414"/>
        </w:tabs>
        <w:spacing w:line="247" w:lineRule="auto"/>
        <w:ind w:left="152" w:right="391" w:firstLine="0"/>
        <w:rPr>
          <w:rFonts w:ascii="Arial"/>
        </w:rPr>
      </w:pPr>
      <w:r>
        <w:rPr>
          <w:rFonts w:ascii="Arial"/>
        </w:rPr>
        <w:t>PGM (ERP), ALTTC Ghaziabad/ Sr. GM (CA/ERP-FICO) - for kind information and necessary action</w:t>
      </w:r>
      <w:r>
        <w:rPr>
          <w:rFonts w:ascii="Arial"/>
          <w:spacing w:val="1"/>
        </w:rPr>
        <w:t xml:space="preserve"> </w:t>
      </w:r>
      <w:r>
        <w:rPr>
          <w:rFonts w:ascii="Arial"/>
        </w:rPr>
        <w:t>please.</w:t>
      </w: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F706C0">
      <w:pPr>
        <w:pStyle w:val="BodyText"/>
        <w:rPr>
          <w:rFonts w:ascii="Arial"/>
          <w:sz w:val="24"/>
        </w:rPr>
      </w:pPr>
    </w:p>
    <w:p w:rsidR="00F706C0" w:rsidRDefault="00996EFF">
      <w:pPr>
        <w:pStyle w:val="Heading1"/>
        <w:spacing w:before="187"/>
        <w:ind w:left="4021" w:right="4049"/>
        <w:jc w:val="center"/>
        <w:rPr>
          <w:rFonts w:ascii="Arial"/>
        </w:rPr>
      </w:pPr>
      <w:r>
        <w:rPr>
          <w:rFonts w:ascii="Arial"/>
        </w:rPr>
        <w:t>-2-</w:t>
      </w:r>
    </w:p>
    <w:sectPr w:rsidR="00F706C0" w:rsidSect="00F706C0">
      <w:pgSz w:w="12240" w:h="15840"/>
      <w:pgMar w:top="980" w:right="146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764F"/>
    <w:multiLevelType w:val="hybridMultilevel"/>
    <w:tmpl w:val="E510332C"/>
    <w:lvl w:ilvl="0" w:tplc="9CF4E17E">
      <w:start w:val="1"/>
      <w:numFmt w:val="decimal"/>
      <w:lvlText w:val="%1)"/>
      <w:lvlJc w:val="left"/>
      <w:pPr>
        <w:ind w:left="413" w:hanging="262"/>
        <w:jc w:val="left"/>
      </w:pPr>
      <w:rPr>
        <w:rFonts w:ascii="Arial" w:eastAsia="Arial" w:hAnsi="Arial" w:cs="Arial" w:hint="default"/>
        <w:spacing w:val="-2"/>
        <w:w w:val="102"/>
        <w:sz w:val="22"/>
        <w:szCs w:val="22"/>
        <w:lang w:val="en-US" w:eastAsia="en-US" w:bidi="ar-SA"/>
      </w:rPr>
    </w:lvl>
    <w:lvl w:ilvl="1" w:tplc="3034BBB0">
      <w:numFmt w:val="bullet"/>
      <w:lvlText w:val="•"/>
      <w:lvlJc w:val="left"/>
      <w:pPr>
        <w:ind w:left="1284" w:hanging="262"/>
      </w:pPr>
      <w:rPr>
        <w:rFonts w:hint="default"/>
        <w:lang w:val="en-US" w:eastAsia="en-US" w:bidi="ar-SA"/>
      </w:rPr>
    </w:lvl>
    <w:lvl w:ilvl="2" w:tplc="E892EF8E">
      <w:numFmt w:val="bullet"/>
      <w:lvlText w:val="•"/>
      <w:lvlJc w:val="left"/>
      <w:pPr>
        <w:ind w:left="2148" w:hanging="262"/>
      </w:pPr>
      <w:rPr>
        <w:rFonts w:hint="default"/>
        <w:lang w:val="en-US" w:eastAsia="en-US" w:bidi="ar-SA"/>
      </w:rPr>
    </w:lvl>
    <w:lvl w:ilvl="3" w:tplc="C8447A2E">
      <w:numFmt w:val="bullet"/>
      <w:lvlText w:val="•"/>
      <w:lvlJc w:val="left"/>
      <w:pPr>
        <w:ind w:left="3012" w:hanging="262"/>
      </w:pPr>
      <w:rPr>
        <w:rFonts w:hint="default"/>
        <w:lang w:val="en-US" w:eastAsia="en-US" w:bidi="ar-SA"/>
      </w:rPr>
    </w:lvl>
    <w:lvl w:ilvl="4" w:tplc="C23869BE">
      <w:numFmt w:val="bullet"/>
      <w:lvlText w:val="•"/>
      <w:lvlJc w:val="left"/>
      <w:pPr>
        <w:ind w:left="3876" w:hanging="262"/>
      </w:pPr>
      <w:rPr>
        <w:rFonts w:hint="default"/>
        <w:lang w:val="en-US" w:eastAsia="en-US" w:bidi="ar-SA"/>
      </w:rPr>
    </w:lvl>
    <w:lvl w:ilvl="5" w:tplc="331E53B6">
      <w:numFmt w:val="bullet"/>
      <w:lvlText w:val="•"/>
      <w:lvlJc w:val="left"/>
      <w:pPr>
        <w:ind w:left="4740" w:hanging="262"/>
      </w:pPr>
      <w:rPr>
        <w:rFonts w:hint="default"/>
        <w:lang w:val="en-US" w:eastAsia="en-US" w:bidi="ar-SA"/>
      </w:rPr>
    </w:lvl>
    <w:lvl w:ilvl="6" w:tplc="CF8241FA">
      <w:numFmt w:val="bullet"/>
      <w:lvlText w:val="•"/>
      <w:lvlJc w:val="left"/>
      <w:pPr>
        <w:ind w:left="5604" w:hanging="262"/>
      </w:pPr>
      <w:rPr>
        <w:rFonts w:hint="default"/>
        <w:lang w:val="en-US" w:eastAsia="en-US" w:bidi="ar-SA"/>
      </w:rPr>
    </w:lvl>
    <w:lvl w:ilvl="7" w:tplc="6D7E01F2">
      <w:numFmt w:val="bullet"/>
      <w:lvlText w:val="•"/>
      <w:lvlJc w:val="left"/>
      <w:pPr>
        <w:ind w:left="6468" w:hanging="262"/>
      </w:pPr>
      <w:rPr>
        <w:rFonts w:hint="default"/>
        <w:lang w:val="en-US" w:eastAsia="en-US" w:bidi="ar-SA"/>
      </w:rPr>
    </w:lvl>
    <w:lvl w:ilvl="8" w:tplc="0D4A1848">
      <w:numFmt w:val="bullet"/>
      <w:lvlText w:val="•"/>
      <w:lvlJc w:val="left"/>
      <w:pPr>
        <w:ind w:left="7332" w:hanging="262"/>
      </w:pPr>
      <w:rPr>
        <w:rFonts w:hint="default"/>
        <w:lang w:val="en-US" w:eastAsia="en-US" w:bidi="ar-SA"/>
      </w:rPr>
    </w:lvl>
  </w:abstractNum>
  <w:abstractNum w:abstractNumId="1">
    <w:nsid w:val="42E92E3D"/>
    <w:multiLevelType w:val="hybridMultilevel"/>
    <w:tmpl w:val="4208A8A6"/>
    <w:lvl w:ilvl="0" w:tplc="605C2144">
      <w:start w:val="1"/>
      <w:numFmt w:val="lowerLetter"/>
      <w:lvlText w:val="%1)."/>
      <w:lvlJc w:val="left"/>
      <w:pPr>
        <w:ind w:left="684" w:hanging="310"/>
        <w:jc w:val="left"/>
      </w:pPr>
      <w:rPr>
        <w:rFonts w:ascii="Times New Roman" w:eastAsia="Times New Roman" w:hAnsi="Times New Roman" w:cs="Times New Roman" w:hint="default"/>
        <w:color w:val="333333"/>
        <w:spacing w:val="0"/>
        <w:w w:val="102"/>
        <w:sz w:val="22"/>
        <w:szCs w:val="22"/>
        <w:lang w:val="en-US" w:eastAsia="en-US" w:bidi="ar-SA"/>
      </w:rPr>
    </w:lvl>
    <w:lvl w:ilvl="1" w:tplc="6FCEBBBA">
      <w:numFmt w:val="bullet"/>
      <w:lvlText w:val="•"/>
      <w:lvlJc w:val="left"/>
      <w:pPr>
        <w:ind w:left="1518" w:hanging="310"/>
      </w:pPr>
      <w:rPr>
        <w:rFonts w:hint="default"/>
        <w:lang w:val="en-US" w:eastAsia="en-US" w:bidi="ar-SA"/>
      </w:rPr>
    </w:lvl>
    <w:lvl w:ilvl="2" w:tplc="629446CA">
      <w:numFmt w:val="bullet"/>
      <w:lvlText w:val="•"/>
      <w:lvlJc w:val="left"/>
      <w:pPr>
        <w:ind w:left="2356" w:hanging="310"/>
      </w:pPr>
      <w:rPr>
        <w:rFonts w:hint="default"/>
        <w:lang w:val="en-US" w:eastAsia="en-US" w:bidi="ar-SA"/>
      </w:rPr>
    </w:lvl>
    <w:lvl w:ilvl="3" w:tplc="2D466490">
      <w:numFmt w:val="bullet"/>
      <w:lvlText w:val="•"/>
      <w:lvlJc w:val="left"/>
      <w:pPr>
        <w:ind w:left="3194" w:hanging="310"/>
      </w:pPr>
      <w:rPr>
        <w:rFonts w:hint="default"/>
        <w:lang w:val="en-US" w:eastAsia="en-US" w:bidi="ar-SA"/>
      </w:rPr>
    </w:lvl>
    <w:lvl w:ilvl="4" w:tplc="81D8C6CA">
      <w:numFmt w:val="bullet"/>
      <w:lvlText w:val="•"/>
      <w:lvlJc w:val="left"/>
      <w:pPr>
        <w:ind w:left="4032" w:hanging="310"/>
      </w:pPr>
      <w:rPr>
        <w:rFonts w:hint="default"/>
        <w:lang w:val="en-US" w:eastAsia="en-US" w:bidi="ar-SA"/>
      </w:rPr>
    </w:lvl>
    <w:lvl w:ilvl="5" w:tplc="A9081CC0">
      <w:numFmt w:val="bullet"/>
      <w:lvlText w:val="•"/>
      <w:lvlJc w:val="left"/>
      <w:pPr>
        <w:ind w:left="4870" w:hanging="310"/>
      </w:pPr>
      <w:rPr>
        <w:rFonts w:hint="default"/>
        <w:lang w:val="en-US" w:eastAsia="en-US" w:bidi="ar-SA"/>
      </w:rPr>
    </w:lvl>
    <w:lvl w:ilvl="6" w:tplc="38C66DD6">
      <w:numFmt w:val="bullet"/>
      <w:lvlText w:val="•"/>
      <w:lvlJc w:val="left"/>
      <w:pPr>
        <w:ind w:left="5708" w:hanging="310"/>
      </w:pPr>
      <w:rPr>
        <w:rFonts w:hint="default"/>
        <w:lang w:val="en-US" w:eastAsia="en-US" w:bidi="ar-SA"/>
      </w:rPr>
    </w:lvl>
    <w:lvl w:ilvl="7" w:tplc="45D8E050">
      <w:numFmt w:val="bullet"/>
      <w:lvlText w:val="•"/>
      <w:lvlJc w:val="left"/>
      <w:pPr>
        <w:ind w:left="6546" w:hanging="310"/>
      </w:pPr>
      <w:rPr>
        <w:rFonts w:hint="default"/>
        <w:lang w:val="en-US" w:eastAsia="en-US" w:bidi="ar-SA"/>
      </w:rPr>
    </w:lvl>
    <w:lvl w:ilvl="8" w:tplc="195434EC">
      <w:numFmt w:val="bullet"/>
      <w:lvlText w:val="•"/>
      <w:lvlJc w:val="left"/>
      <w:pPr>
        <w:ind w:left="7384" w:hanging="310"/>
      </w:pPr>
      <w:rPr>
        <w:rFonts w:hint="default"/>
        <w:lang w:val="en-US" w:eastAsia="en-US" w:bidi="ar-SA"/>
      </w:rPr>
    </w:lvl>
  </w:abstractNum>
  <w:abstractNum w:abstractNumId="2">
    <w:nsid w:val="7C395F20"/>
    <w:multiLevelType w:val="hybridMultilevel"/>
    <w:tmpl w:val="10E0E810"/>
    <w:lvl w:ilvl="0" w:tplc="4A786368">
      <w:numFmt w:val="bullet"/>
      <w:lvlText w:val=""/>
      <w:lvlJc w:val="left"/>
      <w:pPr>
        <w:ind w:left="828" w:hanging="339"/>
      </w:pPr>
      <w:rPr>
        <w:rFonts w:ascii="Georgia" w:eastAsia="Georgia" w:hAnsi="Georgia" w:cs="Georgia" w:hint="default"/>
        <w:color w:val="333333"/>
        <w:w w:val="81"/>
        <w:sz w:val="22"/>
        <w:szCs w:val="22"/>
        <w:lang w:val="en-US" w:eastAsia="en-US" w:bidi="ar-SA"/>
      </w:rPr>
    </w:lvl>
    <w:lvl w:ilvl="1" w:tplc="1D5EE834">
      <w:numFmt w:val="bullet"/>
      <w:lvlText w:val="•"/>
      <w:lvlJc w:val="left"/>
      <w:pPr>
        <w:ind w:left="1644" w:hanging="339"/>
      </w:pPr>
      <w:rPr>
        <w:rFonts w:hint="default"/>
        <w:lang w:val="en-US" w:eastAsia="en-US" w:bidi="ar-SA"/>
      </w:rPr>
    </w:lvl>
    <w:lvl w:ilvl="2" w:tplc="AF4EB68C">
      <w:numFmt w:val="bullet"/>
      <w:lvlText w:val="•"/>
      <w:lvlJc w:val="left"/>
      <w:pPr>
        <w:ind w:left="2468" w:hanging="339"/>
      </w:pPr>
      <w:rPr>
        <w:rFonts w:hint="default"/>
        <w:lang w:val="en-US" w:eastAsia="en-US" w:bidi="ar-SA"/>
      </w:rPr>
    </w:lvl>
    <w:lvl w:ilvl="3" w:tplc="9A064320">
      <w:numFmt w:val="bullet"/>
      <w:lvlText w:val="•"/>
      <w:lvlJc w:val="left"/>
      <w:pPr>
        <w:ind w:left="3292" w:hanging="339"/>
      </w:pPr>
      <w:rPr>
        <w:rFonts w:hint="default"/>
        <w:lang w:val="en-US" w:eastAsia="en-US" w:bidi="ar-SA"/>
      </w:rPr>
    </w:lvl>
    <w:lvl w:ilvl="4" w:tplc="B3B6DE06">
      <w:numFmt w:val="bullet"/>
      <w:lvlText w:val="•"/>
      <w:lvlJc w:val="left"/>
      <w:pPr>
        <w:ind w:left="4116" w:hanging="339"/>
      </w:pPr>
      <w:rPr>
        <w:rFonts w:hint="default"/>
        <w:lang w:val="en-US" w:eastAsia="en-US" w:bidi="ar-SA"/>
      </w:rPr>
    </w:lvl>
    <w:lvl w:ilvl="5" w:tplc="35A2F95A">
      <w:numFmt w:val="bullet"/>
      <w:lvlText w:val="•"/>
      <w:lvlJc w:val="left"/>
      <w:pPr>
        <w:ind w:left="4940" w:hanging="339"/>
      </w:pPr>
      <w:rPr>
        <w:rFonts w:hint="default"/>
        <w:lang w:val="en-US" w:eastAsia="en-US" w:bidi="ar-SA"/>
      </w:rPr>
    </w:lvl>
    <w:lvl w:ilvl="6" w:tplc="A11C167C">
      <w:numFmt w:val="bullet"/>
      <w:lvlText w:val="•"/>
      <w:lvlJc w:val="left"/>
      <w:pPr>
        <w:ind w:left="5764" w:hanging="339"/>
      </w:pPr>
      <w:rPr>
        <w:rFonts w:hint="default"/>
        <w:lang w:val="en-US" w:eastAsia="en-US" w:bidi="ar-SA"/>
      </w:rPr>
    </w:lvl>
    <w:lvl w:ilvl="7" w:tplc="E6000AA0">
      <w:numFmt w:val="bullet"/>
      <w:lvlText w:val="•"/>
      <w:lvlJc w:val="left"/>
      <w:pPr>
        <w:ind w:left="6588" w:hanging="339"/>
      </w:pPr>
      <w:rPr>
        <w:rFonts w:hint="default"/>
        <w:lang w:val="en-US" w:eastAsia="en-US" w:bidi="ar-SA"/>
      </w:rPr>
    </w:lvl>
    <w:lvl w:ilvl="8" w:tplc="FC76FF22">
      <w:numFmt w:val="bullet"/>
      <w:lvlText w:val="•"/>
      <w:lvlJc w:val="left"/>
      <w:pPr>
        <w:ind w:left="7412" w:hanging="339"/>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706C0"/>
    <w:rsid w:val="006828C4"/>
    <w:rsid w:val="00784C74"/>
    <w:rsid w:val="00996EFF"/>
    <w:rsid w:val="00F70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06C0"/>
    <w:rPr>
      <w:rFonts w:ascii="Times New Roman" w:eastAsia="Times New Roman" w:hAnsi="Times New Roman" w:cs="Times New Roman"/>
    </w:rPr>
  </w:style>
  <w:style w:type="paragraph" w:styleId="Heading1">
    <w:name w:val="heading 1"/>
    <w:basedOn w:val="Normal"/>
    <w:uiPriority w:val="1"/>
    <w:qFormat/>
    <w:rsid w:val="00F706C0"/>
    <w:pPr>
      <w:ind w:left="15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706C0"/>
  </w:style>
  <w:style w:type="paragraph" w:styleId="ListParagraph">
    <w:name w:val="List Paragraph"/>
    <w:basedOn w:val="Normal"/>
    <w:uiPriority w:val="1"/>
    <w:qFormat/>
    <w:rsid w:val="00F706C0"/>
    <w:pPr>
      <w:spacing w:before="6"/>
      <w:ind w:left="828" w:hanging="339"/>
    </w:pPr>
  </w:style>
  <w:style w:type="paragraph" w:customStyle="1" w:styleId="TableParagraph">
    <w:name w:val="Table Paragraph"/>
    <w:basedOn w:val="Normal"/>
    <w:uiPriority w:val="1"/>
    <w:qFormat/>
    <w:rsid w:val="00F706C0"/>
    <w:pPr>
      <w:ind w:left="-1"/>
    </w:pPr>
  </w:style>
  <w:style w:type="paragraph" w:styleId="BalloonText">
    <w:name w:val="Balloon Text"/>
    <w:basedOn w:val="Normal"/>
    <w:link w:val="BalloonTextChar"/>
    <w:uiPriority w:val="99"/>
    <w:semiHidden/>
    <w:unhideWhenUsed/>
    <w:rsid w:val="00996EFF"/>
    <w:rPr>
      <w:rFonts w:ascii="Tahoma" w:hAnsi="Tahoma" w:cs="Tahoma"/>
      <w:sz w:val="16"/>
      <w:szCs w:val="16"/>
    </w:rPr>
  </w:style>
  <w:style w:type="character" w:customStyle="1" w:styleId="BalloonTextChar">
    <w:name w:val="Balloon Text Char"/>
    <w:basedOn w:val="DefaultParagraphFont"/>
    <w:link w:val="BalloonText"/>
    <w:uiPriority w:val="99"/>
    <w:semiHidden/>
    <w:rsid w:val="00996EF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Letter_4045_Retired Medical</vt:lpstr>
    </vt:vector>
  </TitlesOfParts>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Letter_4045_Retired Medical</dc:title>
  <dc:creator>Acer</dc:creator>
  <cp:lastModifiedBy>Raman Kutty</cp:lastModifiedBy>
  <cp:revision>3</cp:revision>
  <dcterms:created xsi:type="dcterms:W3CDTF">2021-02-03T10:17:00Z</dcterms:created>
  <dcterms:modified xsi:type="dcterms:W3CDTF">2021-02-03T10:43:00Z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LastSaved">
    <vt:filetime>2021-02-03T00:00:00Z</vt:filetime>
  </property>
</Properties>
</file>